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6677" w14:textId="77777777">
      <w:pPr>
        <w:spacing w:before="100" w:beforeAutospacing="1" w:after="100" w:afterAutospacing="1" w:line="240" w:lineRule="auto"/>
        <w:jc w:val="center"/>
        <w:rPr>
          <w:rFonts w:cstheme="minorHAnsi" w:eastAsia="Times New Roman"/>
          <w:b/>
          <w:color w:val="000000"/>
          <w:kern w:val="0"/>
          <w:sz w:val="28"/>
          <w14:ligatures w14:val="none"/>
        </w:rPr>
        <w:pStyle w:val="P68B1DB1-Normal1"/>
      </w:pPr>
      <w:r>
        <w:t xml:space="preserve">CHOSES À CONSIDÉRER APRÈS LE BLANCHIMENT DES DENTS</w:t>
      </w:r>
    </w:p>
    <w:p w14:paraId="4F4F98E1" w14:textId="77777777">
      <w:pPr>
        <w:spacing w:after="0" w:line="480" w:lineRule="auto"/>
        <w:rPr>
          <w:rFonts w:cstheme="minorHAnsi" w:eastAsia="Times New Roman"/>
          <w:color w:val="000000"/>
          <w:kern w:val="0"/>
          <w:sz w:val="24"/>
          <w14:ligatures w14:val="none"/>
        </w:rPr>
        <w:pStyle w:val="P68B1DB1-Normal2"/>
      </w:pPr>
      <w:r>
        <w:t xml:space="preserve"> </w:t>
      </w:r>
    </w:p>
    <w:p w14:paraId="21C7F09A" w14:textId="7F1417E2">
      <w:pPr>
        <w:numPr>
          <w:ilvl w:val="0"/>
          <w:numId w:val="1"/>
        </w:numPr>
        <w:spacing w:after="0" w:line="240" w:lineRule="auto"/>
        <w:ind w:left="357" w:hanging="357"/>
        <w:rPr>
          <w:rFonts w:cstheme="minorHAnsi" w:eastAsia="Times New Roman"/>
          <w:color w:val="000000"/>
          <w:kern w:val="0"/>
          <w:sz w:val="24"/>
          <w14:ligatures w14:val="none"/>
        </w:rPr>
        <w:pStyle w:val="P68B1DB1-Normal3"/>
      </w:pPr>
      <w:r>
        <w:t xml:space="preserve">Après la procédure, vous pouvez ressentir une certaine sensibilité et douleur sous forme de coups de foudre. Cette sensibilité est temporaire, elle se termine en 1-2 jours. Des analgésiques peuvent être utilisés si nécessaire le premier jour.</w:t>
      </w:r>
    </w:p>
    <w:p w14:paraId="4ED00D69" w14:textId="77777777">
      <w:pPr>
        <w:spacing w:after="0" w:line="240" w:lineRule="auto"/>
        <w:ind w:left="357"/>
        <w:rPr>
          <w:rFonts w:cstheme="minorHAnsi" w:eastAsia="Times New Roman"/>
          <w:color w:val="000000"/>
          <w:kern w:val="0"/>
          <w:sz w:val="24"/>
          <w14:ligatures w14:val="none"/>
        </w:rPr>
      </w:pPr>
    </w:p>
    <w:p w14:paraId="559A80D1" w14:textId="3AE685F8">
      <w:pPr>
        <w:numPr>
          <w:ilvl w:val="0"/>
          <w:numId w:val="1"/>
        </w:numPr>
        <w:spacing w:after="0" w:line="240" w:lineRule="auto"/>
        <w:ind w:left="357" w:hanging="357"/>
        <w:rPr>
          <w:rFonts w:cstheme="minorHAnsi" w:eastAsia="Times New Roman"/>
          <w:color w:val="000000"/>
          <w:kern w:val="0"/>
          <w:sz w:val="24"/>
          <w14:ligatures w14:val="none"/>
        </w:rPr>
        <w:pStyle w:val="P68B1DB1-Normal3"/>
      </w:pPr>
      <w:r>
        <w:t xml:space="preserve">Après le traitement, vous pourriez remarquer des taches blanches sur vos gencives en raison de l'effet du gel de blanchiment. Ces taches blanches disparaissent généralement d'elles-mêmes en 1 à 2 jours. </w:t>
      </w:r>
    </w:p>
    <w:p w14:paraId="622FC4F7" w14:textId="77777777">
      <w:pPr>
        <w:spacing w:after="0" w:line="240" w:lineRule="auto"/>
        <w:rPr>
          <w:rFonts w:cstheme="minorHAnsi" w:eastAsia="Times New Roman"/>
          <w:color w:val="000000"/>
          <w:kern w:val="0"/>
          <w:sz w:val="24"/>
          <w14:ligatures w14:val="none"/>
        </w:rPr>
      </w:pPr>
    </w:p>
    <w:p w14:paraId="4F49912B" w14:textId="76E4E20D">
      <w:pPr>
        <w:numPr>
          <w:ilvl w:val="0"/>
          <w:numId w:val="2"/>
        </w:numPr>
        <w:spacing w:after="0" w:line="240" w:lineRule="auto"/>
        <w:ind w:left="357" w:hanging="357"/>
        <w:rPr>
          <w:rFonts w:cstheme="minorHAnsi" w:eastAsia="Times New Roman"/>
          <w:color w:val="000000"/>
          <w:kern w:val="0"/>
          <w:sz w:val="24"/>
          <w14:ligatures w14:val="none"/>
        </w:rPr>
        <w:pStyle w:val="P68B1DB1-Normal3"/>
      </w:pPr>
      <w:r>
        <w:t xml:space="preserve">La chaleur ou le froid extrême doivent être évités pendant les 1 à 2 premiers jours.</w:t>
      </w:r>
    </w:p>
    <w:p w14:paraId="3B5A5F02" w14:textId="77777777">
      <w:pPr>
        <w:spacing w:after="0" w:line="240" w:lineRule="auto"/>
        <w:ind w:left="357"/>
        <w:rPr>
          <w:rFonts w:cstheme="minorHAnsi" w:eastAsia="Times New Roman"/>
          <w:color w:val="000000"/>
          <w:kern w:val="0"/>
          <w:sz w:val="24"/>
          <w14:ligatures w14:val="none"/>
        </w:rPr>
      </w:pPr>
    </w:p>
    <w:p w14:paraId="0E6E9467" w14:textId="383CFA6A">
      <w:pPr>
        <w:numPr>
          <w:ilvl w:val="0"/>
          <w:numId w:val="3"/>
        </w:numPr>
        <w:spacing w:after="0" w:line="240" w:lineRule="auto"/>
        <w:ind w:left="357" w:hanging="357"/>
        <w:rPr>
          <w:rFonts w:cstheme="minorHAnsi" w:eastAsia="Times New Roman"/>
          <w:color w:val="000000"/>
          <w:kern w:val="0"/>
          <w:sz w:val="24"/>
          <w14:ligatures w14:val="none"/>
        </w:rPr>
        <w:pStyle w:val="P68B1DB1-Normal3"/>
      </w:pPr>
      <w:r>
        <w:t xml:space="preserve">Après le traitement, il est recommandé de ne pas consommer de produits colorants tels que la cigarette, le thé, le café, le chocolat, le vin rouge, les cerises, le caramel, et la sauce tomate pendant 3 à 4 jours. </w:t>
      </w:r>
    </w:p>
    <w:p w14:paraId="15B63093" w14:textId="77777777">
      <w:pPr>
        <w:spacing w:after="0" w:line="240" w:lineRule="auto"/>
        <w:ind w:left="357"/>
        <w:rPr>
          <w:rFonts w:cstheme="minorHAnsi" w:eastAsia="Times New Roman"/>
          <w:color w:val="000000"/>
          <w:kern w:val="0"/>
          <w:sz w:val="24"/>
          <w14:ligatures w14:val="none"/>
        </w:rPr>
      </w:pPr>
    </w:p>
    <w:p w14:paraId="0FFB1523" w14:textId="7C32C068">
      <w:pPr>
        <w:numPr>
          <w:ilvl w:val="0"/>
          <w:numId w:val="4"/>
        </w:numPr>
        <w:spacing w:after="0" w:line="240" w:lineRule="auto"/>
        <w:ind w:left="357" w:hanging="357"/>
        <w:rPr>
          <w:rFonts w:cstheme="minorHAnsi" w:eastAsia="Times New Roman"/>
          <w:color w:val="000000"/>
          <w:kern w:val="0"/>
          <w:sz w:val="24"/>
          <w14:ligatures w14:val="none"/>
        </w:rPr>
        <w:pStyle w:val="P68B1DB1-Normal3"/>
      </w:pPr>
      <w:r>
        <w:t xml:space="preserve">L'utilisation d'un dentifrice blanchissant prolongera également l'effet blanchissant. Il ne faut absolument pas utiliser de dentifrices ou de poudres dentaires contenant des substances abrasives.</w:t>
      </w:r>
    </w:p>
    <w:p w14:paraId="7DDDB4A5" w14:textId="77777777">
      <w:pPr>
        <w:spacing w:after="0" w:line="240" w:lineRule="auto"/>
        <w:ind w:left="357"/>
        <w:rPr>
          <w:rFonts w:cstheme="minorHAnsi" w:eastAsia="Times New Roman"/>
          <w:color w:val="000000"/>
          <w:kern w:val="0"/>
          <w:sz w:val="24"/>
          <w14:ligatures w14:val="none"/>
        </w:rPr>
      </w:pPr>
    </w:p>
    <w:p w14:paraId="3F9EFF41" w14:textId="1B939DE5">
      <w:pPr>
        <w:numPr>
          <w:ilvl w:val="0"/>
          <w:numId w:val="4"/>
        </w:numPr>
        <w:spacing w:after="0" w:line="240" w:lineRule="auto"/>
        <w:ind w:left="357" w:hanging="357"/>
        <w:rPr>
          <w:rFonts w:cstheme="minorHAnsi" w:eastAsia="Times New Roman"/>
          <w:color w:val="000000"/>
          <w:kern w:val="0"/>
          <w:sz w:val="24"/>
          <w14:ligatures w14:val="none"/>
        </w:rPr>
        <w:pStyle w:val="P68B1DB1-Normal3"/>
      </w:pPr>
      <w:r>
        <w:t xml:space="preserve">Après le processus de blanchiment des dents, l'utilisation de mélanges naturels tels que le bicarbonate de soude et le citron doit être évitée.</w:t>
      </w:r>
    </w:p>
    <w:p w14:paraId="5ED1FDC1" w14:textId="77777777">
      <w:pPr>
        <w:spacing w:after="0" w:line="240" w:lineRule="auto"/>
        <w:rPr>
          <w:rFonts w:cstheme="minorHAnsi" w:eastAsia="Times New Roman"/>
          <w:color w:val="000000"/>
          <w:kern w:val="0"/>
          <w:sz w:val="24"/>
          <w14:ligatures w14:val="none"/>
        </w:rPr>
      </w:pPr>
    </w:p>
    <w:p w14:paraId="626096A0" w14:textId="1AA31F03">
      <w:pPr>
        <w:numPr>
          <w:ilvl w:val="0"/>
          <w:numId w:val="6"/>
        </w:numPr>
        <w:spacing w:after="0" w:line="240" w:lineRule="auto"/>
        <w:ind w:left="357" w:hanging="357"/>
        <w:rPr>
          <w:rFonts w:cstheme="minorHAnsi" w:eastAsia="Times New Roman"/>
          <w:color w:val="000000"/>
          <w:kern w:val="0"/>
          <w:sz w:val="24"/>
          <w14:ligatures w14:val="none"/>
        </w:rPr>
        <w:pStyle w:val="P68B1DB1-Normal3"/>
      </w:pPr>
      <w:r>
        <w:t xml:space="preserve">Après le traitement de blanchiment, les dents doivent être brossées au moins 2 fois par jour, et les soins bucco-dentaires ne doivent pas être négligés. </w:t>
      </w:r>
    </w:p>
    <w:p w14:paraId="0F45739C" w14:textId="77777777">
      <w:pPr>
        <w:spacing w:after="0" w:line="240" w:lineRule="auto"/>
        <w:ind w:left="357"/>
        <w:rPr>
          <w:rFonts w:cstheme="minorHAnsi" w:eastAsia="Times New Roman"/>
          <w:color w:val="000000"/>
          <w:kern w:val="0"/>
          <w:sz w:val="24"/>
          <w14:ligatures w14:val="none"/>
        </w:rPr>
      </w:pPr>
    </w:p>
    <w:p w14:paraId="65334581" w14:textId="4C987C48">
      <w:pPr>
        <w:numPr>
          <w:ilvl w:val="0"/>
          <w:numId w:val="7"/>
        </w:numPr>
        <w:spacing w:after="0" w:line="240" w:lineRule="auto"/>
        <w:ind w:left="357" w:hanging="357"/>
        <w:rPr>
          <w:rFonts w:cstheme="minorHAnsi" w:eastAsia="Times New Roman"/>
          <w:color w:val="000000"/>
          <w:kern w:val="0"/>
          <w:sz w:val="24"/>
          <w14:ligatures w14:val="none"/>
        </w:rPr>
        <w:pStyle w:val="P68B1DB1-Normal3"/>
      </w:pPr>
      <w:r>
        <w:t xml:space="preserve">Chez les patients qui se rendent régulièrement à des contrôles tous les 6 mois, qui ne fument pas excessivement et qui ne consomment pas de thé ou de café, l'effet de blanchiment des dents peut durer plus longtemps.</w:t>
      </w:r>
    </w:p>
    <w:p w14:paraId="628892FE" w14:textId="77777777">
      <w:pPr>
        <w:spacing w:after="0" w:line="240" w:lineRule="auto"/>
        <w:ind w:left="357"/>
        <w:rPr>
          <w:rFonts w:cstheme="minorHAnsi" w:eastAsia="Times New Roman"/>
          <w:color w:val="000000"/>
          <w:kern w:val="0"/>
          <w:sz w:val="24"/>
          <w14:ligatures w14:val="none"/>
        </w:rPr>
      </w:pPr>
    </w:p>
    <w:p w14:paraId="7AFE556E" w14:textId="1AA53D35">
      <w:pPr>
        <w:numPr>
          <w:ilvl w:val="0"/>
          <w:numId w:val="8"/>
        </w:numPr>
        <w:spacing w:after="0" w:line="240" w:lineRule="auto"/>
        <w:ind w:left="357" w:hanging="357"/>
        <w:rPr>
          <w:rFonts w:cstheme="minorHAnsi" w:eastAsia="Times New Roman"/>
          <w:color w:val="000000"/>
          <w:kern w:val="0"/>
          <w:sz w:val="24"/>
          <w14:ligatures w14:val="none"/>
        </w:rPr>
        <w:pStyle w:val="P68B1DB1-Normal3"/>
      </w:pPr>
      <w:r>
        <w:t xml:space="preserve">Chez les patients qui ne suivent pas ces règles, il peut y avoir une récurrence des problèmes et un besoin de refaire un traitement de blanchiment.</w:t>
      </w:r>
    </w:p>
    <w:p w14:paraId="0A204890" w14:textId="77777777">
      <w:pPr>
        <w:spacing w:after="0" w:line="480" w:lineRule="auto"/>
        <w:rPr>
          <w:rFonts w:cstheme="minorHAnsi" w:eastAsia="Times New Roman"/>
          <w:color w:val="000000"/>
          <w:kern w:val="0"/>
          <w:sz w:val="24"/>
          <w14:ligatures w14:val="none"/>
        </w:rPr>
        <w:pStyle w:val="P68B1DB1-Normal3"/>
      </w:pPr>
      <w:r>
        <w:t xml:space="preserve"> </w:t>
      </w:r>
    </w:p>
    <w:p w14:paraId="05363D0B" w14:textId="77777777">
      <w:pPr>
        <w:spacing w:after="0" w:line="480" w:lineRule="auto"/>
        <w:rPr>
          <w:rFonts w:cstheme="minorHAnsi"/>
          <w:sz w:val="24"/>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D3"/>
    <w:multiLevelType w:val="multilevel"/>
    <w:tmpl w:val="949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F23CB"/>
    <w:multiLevelType w:val="multilevel"/>
    <w:tmpl w:val="C1E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C0D3D"/>
    <w:multiLevelType w:val="multilevel"/>
    <w:tmpl w:val="1340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A053C"/>
    <w:multiLevelType w:val="multilevel"/>
    <w:tmpl w:val="14D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63475"/>
    <w:multiLevelType w:val="multilevel"/>
    <w:tmpl w:val="3034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E4F68"/>
    <w:multiLevelType w:val="multilevel"/>
    <w:tmpl w:val="072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A4535"/>
    <w:multiLevelType w:val="multilevel"/>
    <w:tmpl w:val="723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87B29"/>
    <w:multiLevelType w:val="multilevel"/>
    <w:tmpl w:val="4612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945399">
    <w:abstractNumId w:val="4"/>
  </w:num>
  <w:num w:numId="2" w16cid:durableId="138114483">
    <w:abstractNumId w:val="0"/>
  </w:num>
  <w:num w:numId="3" w16cid:durableId="946740277">
    <w:abstractNumId w:val="6"/>
  </w:num>
  <w:num w:numId="4" w16cid:durableId="1485002517">
    <w:abstractNumId w:val="5"/>
  </w:num>
  <w:num w:numId="5" w16cid:durableId="263880127">
    <w:abstractNumId w:val="3"/>
  </w:num>
  <w:num w:numId="6" w16cid:durableId="1624649963">
    <w:abstractNumId w:val="2"/>
  </w:num>
  <w:num w:numId="7" w16cid:durableId="1383794914">
    <w:abstractNumId w:val="7"/>
  </w:num>
  <w:num w:numId="8" w16cid:durableId="213178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91"/>
    <w:rsid w:val="000C28A4"/>
    <w:rsid w:val="005330CF"/>
    <w:rsid w:val="009439AE"/>
    <w:rsid w:val="00A03A34"/>
    <w:rsid w:val="00D03691"/>
    <w:rsid w:val="00DB7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CBC4"/>
  <w15:chartTrackingRefBased/>
  <w15:docId w15:val="{A955A607-BEC2-422C-BACB-5DE15D7F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28A4"/>
    <w:pPr>
      <w:spacing w:before="100" w:beforeAutospacing="1" w:after="100" w:afterAutospacing="1" w:line="240" w:lineRule="auto"/>
    </w:pPr>
    <w:rPr>
      <w:rFonts w:ascii="Times New Roman" w:hAnsi="Times New Roman" w:cs="Times New Roman" w:eastAsia="Times New Roman"/>
      <w:kern w:val="0"/>
      <w:sz w:val="24"/>
      <w14:ligatures w14:val="none"/>
    </w:rPr>
  </w:style>
  <w:style w:type="paragraph" w:styleId="ListeParagraf">
    <w:name w:val="List Paragraph"/>
    <w:basedOn w:val="Normal"/>
    <w:uiPriority w:val="34"/>
    <w:qFormat/>
    <w:rsid w:val="009439AE"/>
    <w:pPr>
      <w:ind w:left="720"/>
      <w:contextualSpacing/>
    </w:pPr>
  </w:style>
  <w:style w:type="paragraph" w:styleId="P68B1DB1-Normal1">
    <w:name w:val="P68B1DB1-Normal1"/>
    <w:basedOn w:val="Normal"/>
    <w:rPr>
      <w:rFonts w:cstheme="minorHAnsi" w:eastAsia="Times New Roman"/>
      <w:b/>
      <w:color w:val="000000"/>
      <w:kern w:val="0"/>
      <w:sz w:val="28"/>
      <w14:ligatures w14:val="none"/>
    </w:rPr>
  </w:style>
  <w:style w:type="paragraph" w:styleId="P68B1DB1-Normal2">
    <w:name w:val="P68B1DB1-Normal2"/>
    <w:basedOn w:val="Normal"/>
    <w:rPr>
      <w:rFonts w:cstheme="minorHAnsi" w:eastAsia="Times New Roman"/>
      <w:color w:val="000000"/>
      <w:kern w:val="0"/>
      <w:sz w:val="21"/>
      <w14:ligatures w14:val="none"/>
    </w:rPr>
  </w:style>
  <w:style w:type="paragraph" w:styleId="P68B1DB1-Normal3">
    <w:name w:val="P68B1DB1-Normal3"/>
    <w:basedOn w:val="Normal"/>
    <w:rPr>
      <w:rFonts w:cstheme="minorHAnsi" w:eastAsia="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5</cp:revision>
  <dcterms:created xsi:type="dcterms:W3CDTF">2023-06-13T14:16:00Z</dcterms:created>
  <dcterms:modified xsi:type="dcterms:W3CDTF">2023-07-12T15:53:00Z</dcterms:modified>
</cp:coreProperties>
</file>