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BDA2" w14:textId="5587A307">
      <w:pPr>
        <w:rPr>
          <w:b/>
          <w:sz w:val="24"/>
        </w:rPr>
        <w:pStyle w:val="P68B1DB1-Normal1"/>
        <w:bidi/>
      </w:pPr>
      <w:r>
        <w:rPr>
          <w:rtl/>
        </w:rPr>
        <w:t xml:space="preserve">معلومات المريض عن التخدير الموضعي ونموذج الموافقة</w:t>
      </w:r>
    </w:p>
    <w:p w14:paraId="2E2E453A" w14:textId="47BC885D">
      <w:pPr>
        <w:bidi/>
      </w:pPr>
      <w:r>
        <w:rPr>
          <w:rtl/>
        </w:rPr>
        <w:t xml:space="preserve">يتم تطبيق التخدير الموضعي لضمان السيطرة على الألم أثناء العلاج. في الحالات الضرورية, أولاً يتم تخدير اللثة أو القسم الداخلي من الخد باستخدام مخدر موضعي (بخاخ). </w:t>
      </w:r>
    </w:p>
    <w:p w14:paraId="09E99526" w14:textId="2FC58643">
      <w:pPr>
        <w:bidi/>
      </w:pPr>
      <w:r>
        <w:rPr>
          <w:rtl/>
        </w:rPr>
        <w:t xml:space="preserve">ما هو متوقع من التخدير: يتم حقن سائل التخدير بحاقن ويتم تخدير السن ومساحته لفترة من الوقت. بعد 2-4 ساعات، يختفي تأثير المخدر. </w:t>
      </w:r>
    </w:p>
    <w:p w14:paraId="130B7FBE" w14:textId="77777777">
      <w:pPr>
        <w:bidi/>
      </w:pPr>
      <w:r>
        <w:rPr>
          <w:rtl/>
        </w:rPr>
        <w:t xml:space="preserve">إذا لم يتم إجراء أي تخدير: في حالة عدم وجود تخدير موضعي، لا يمكن إجراء الإجراءات إما لأنها ستكون مؤلمة للغاية أو تحت إجراء/تخدير أكثر تعقيدًا. </w:t>
      </w:r>
    </w:p>
    <w:p w14:paraId="4AE78AD2" w14:textId="77777777">
      <w:pPr>
        <w:bidi/>
      </w:pPr>
      <w:r>
        <w:rPr>
          <w:rtl/>
        </w:rPr>
        <w:t xml:space="preserve">نادراً ما تظهر مضاعفات بعد التخدير الموضعي للمرضى منها ردات الفعل التحسسية, فقدان الشعور, النزيف, تشنجات عضلية مؤقتة, شلل مؤقت بالوجه.&amp;nbsp; قد يفشل التخدير إذا كانت هناك اختلافات تشريحية أو التهابات حادة في المنطقة. تظل المنطقة التي يتم تطبيق التخدير الموضعي عليها&amp;nbsp; بدون شعور لمدة 2 إلى 4 ساعات.&amp;nbsp; لذلك لا ينصح بتناول الطعام و الشراب إلا بعد زوال الخدر و ذلك لتلافي جروح الخدين و الشفتين الناتجة عن العض.&amp;nbsp; </w:t>
      </w:r>
    </w:p>
    <w:p w14:paraId="6CB90B61" w14:textId="3B3066E1">
      <w:pPr>
        <w:bidi/>
      </w:pPr>
      <w:r>
        <w:rPr>
          <w:rtl/>
        </w:rPr>
        <w:t xml:space="preserve">الأشياء التي يجب مراعاتها بعد العلاج: المنطقة تحت التخدير الموضعي مخدرة لمدة 2-4 ساعات. لذلك لا ينصح بتناول الطعام و الشراب إلا بعد زوال الخدر و ذلك لتلافي جروح الخدين و الشفتين الناتجة عن العض. </w:t>
      </w:r>
    </w:p>
    <w:p w14:paraId="474C73CE" w14:textId="5B037E66">
      <w:pPr>
        <w:rPr>
          <w:rFonts w:cstheme="minorHAnsi" w:eastAsia="Times New Roman"/>
          <w:color w:val="000000"/>
          <w:kern w:val="0"/>
          <w14:ligatures w14:val="none"/>
        </w:rPr>
        <w:pStyle w:val="P68B1DB1-Normal2"/>
        <w:bidi/>
      </w:pPr>
      <w:r>
        <w:rPr>
          <w:rtl/>
        </w:rPr>
        <w:t xml:space="preserve">في حالة حدوث رد فعل تحسسي نتيجة للتخدير، يجب التدخل العاجل، ويجب على المريض إخبار طبيب الأسنان ما إذا كان لديه حساسية من أي مادة (على سبيل المثال، البنسلين) قبل بدء العلاج.</w:t>
      </w:r>
    </w:p>
    <w:p w14:paraId="75169CDA" w14:textId="77777777">
      <w:pPr>
        <w:rPr>
          <w:rFonts w:cstheme="minorHAnsi" w:eastAsia="Times New Roman"/>
          <w:color w:val="000000"/>
          <w:kern w:val="0"/>
          <w14:ligatures w14:val="none"/>
        </w:rPr>
        <w:bidi/>
      </w:pPr>
    </w:p>
    <w:p w14:paraId="01BAD3C2" w14:textId="77777777">
      <w:pPr>
        <w:rPr>
          <w:sz w:val="20"/>
        </w:rPr>
        <w:pStyle w:val="P68B1DB1-Normal3"/>
        <w:bidi/>
      </w:pPr>
      <w:r>
        <w:rPr>
          <w:b/>
          <w:rtl/>
        </w:rPr>
        <w:t xml:space="preserve">لقد قرأت هذا النموذج وفهمت جميع البنود والكلمات الواردة في محتواه</w:t>
      </w:r>
      <w:r>
        <w:rPr>
          <w:rtl/>
        </w:rPr>
        <w:t xml:space="preserve"> التاريخ: </w:t>
      </w:r>
    </w:p>
    <w:p w14:paraId="775A6742" w14:textId="77777777">
      <w:pPr>
        <w:rPr>
          <w:sz w:val="18"/>
        </w:rPr>
        <w:pStyle w:val="P68B1DB1-Normal4"/>
        <w:bidi/>
      </w:pPr>
      <w:r>
        <w:rPr>
          <w:rtl/>
        </w:rPr>
        <w:t xml:space="preserve">يرجى الكتابة بخط اليد (قرأته وفهمته وأوافق عليه)</w:t>
      </w:r>
    </w:p>
    <w:p w14:paraId="62383F23" w14:textId="77777777">
      <w:pPr>
        <w:rPr>
          <w:sz w:val="18"/>
        </w:rPr>
        <w:pStyle w:val="P68B1DB1-Normal4"/>
        <w:bidi/>
      </w:pPr>
      <w:r>
        <mc:AlternateContent>
          <mc:Choice Requires="wps">
            <w:drawing>
              <wp:anchor distT="45720" distB="45720" distL="114300" distR="114300" simplePos="0" relativeHeight="251660288" behindDoc="0" locked="0" layoutInCell="1" allowOverlap="1" wp14:anchorId="22DB1721" wp14:editId="4A1318AA">
                <wp:simplePos x="0" y="0"/>
                <wp:positionH relativeFrom="margin">
                  <wp:posOffset>3047365</wp:posOffset>
                </wp:positionH>
                <wp:positionV relativeFrom="paragraph">
                  <wp:posOffset>426720</wp:posOffset>
                </wp:positionV>
                <wp:extent cx="2360930" cy="962025"/>
                <wp:effectExtent l="0" t="0" r="11430" b="28575"/>
                <wp:wrapSquare wrapText="bothSides"/>
                <wp:docPr id="85271498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1A7F5070" w14:textId="77777777">
                            <w:pPr>
                              <w:rPr>
                                <w:b/>
                              </w:rPr>
                              <w:pStyle w:val="P68B1DB1-Normal5"/>
                              <w:bidi/>
                            </w:pPr>
                            <w:r>
                              <w:rPr>
                                <w:rtl/>
                              </w:rPr>
                              <w:t xml:space="preserve">التوقيع: </w:t>
                            </w:r>
                          </w:p>
                          <w:p w14:paraId="213DAA23" w14:textId="77777777">
                            <w:pPr>
                              <w:rPr>
                                <w:b/>
                              </w:rPr>
                              <w:pStyle w:val="P68B1DB1-Normal5"/>
                              <w:bidi/>
                            </w:pPr>
                            <w:r>
                              <w:rPr>
                                <w:rtl/>
                              </w:rPr>
                              <w:t xml:space="preserve">التوقيع: </w:t>
                            </w:r>
                          </w:p>
                          <w:p w14:paraId="12FE101E" w14:textId="77777777">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AlternateContent>
      </w:r>
      <w:r>
        <mc:AlternateContent>
          <mc:Choice Requires="wps">
            <w:drawing>
              <wp:anchor distT="45720" distB="45720" distL="114300" distR="114300" simplePos="0" relativeHeight="251659264" behindDoc="0" locked="0" layoutInCell="1" allowOverlap="1" wp14:anchorId="59A61D21" wp14:editId="54B85FFE">
                <wp:simplePos x="0" y="0"/>
                <wp:positionH relativeFrom="margin">
                  <wp:posOffset>0</wp:posOffset>
                </wp:positionH>
                <wp:positionV relativeFrom="paragraph">
                  <wp:posOffset>430530</wp:posOffset>
                </wp:positionV>
                <wp:extent cx="2360930" cy="962025"/>
                <wp:effectExtent l="0" t="0" r="19685"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solidFill>
                            <a:schemeClr val="bg1"/>
                          </a:solidFill>
                          <a:miter lim="800000"/>
                          <a:headEnd/>
                          <a:tailEnd/>
                        </a:ln>
                      </wps:spPr>
                      <wps:txbx>
                        <w:txbxContent>
                          <w:p w14:paraId="6C892695" w14:textId="77777777">
                            <w:pPr>
                              <w:rPr>
                                <w:b/>
                              </w:rPr>
                              <w:pStyle w:val="P68B1DB1-Normal5"/>
                              <w:bidi/>
                            </w:pPr>
                            <w:r>
                              <w:rPr>
                                <w:rtl/>
                              </w:rPr>
                              <w:t xml:space="preserve">اسم ولقب المريض: </w:t>
                            </w:r>
                          </w:p>
                          <w:p w14:paraId="649A1A76" w14:textId="77777777">
                            <w:pPr>
                              <w:rPr>
                                <w:b/>
                              </w:rPr>
                              <w:pStyle w:val="P68B1DB1-Normal5"/>
                              <w:bidi/>
                            </w:pPr>
                            <w:r>
                              <w:rPr>
                                <w:rtl/>
                              </w:rPr>
                              <w:t xml:space="preserve">اسم ولقب ولي الأمر / الوصي للمريض : </w:t>
                            </w:r>
                          </w:p>
                          <w:p w14:paraId="29C193D6" w14:textId="77777777">
                            <w:pPr>
                              <w:rPr>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AlternateContent>
      </w:r>
      <w:r>
        <w:rPr>
          <w:rtl/>
        </w:rPr>
        <w:t>………………………………………………………………………………………………………………………………………………………………………………………………..</w:t>
      </w:r>
    </w:p>
    <w:p w14:paraId="4657F1EC" w14:textId="77777777">
      <w:pPr>
        <w:rPr>
          <w:rFonts w:cstheme="minorHAnsi" w:eastAsia="Times New Roman"/>
          <w:color w:val="000000"/>
          <w:kern w:val="0"/>
          <w14:ligatures w14:val="none"/>
        </w:rPr>
        <w:bidi/>
      </w:pPr>
    </w:p>
    <w:p w14:paraId="71D097F6" w14:textId="77777777">
      <w:pPr>
        <w:rPr>
          <w:rFonts w:cstheme="minorHAnsi" w:eastAsia="Times New Roman"/>
          <w:color w:val="000000"/>
          <w:kern w:val="0"/>
          <w14:ligatures w14:val="none"/>
        </w:rPr>
        <w:bidi/>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9CB"/>
    <w:rsid w:val="000D1993"/>
    <w:rsid w:val="00792312"/>
    <w:rsid w:val="00A1575E"/>
    <w:rsid w:val="00A64CD3"/>
    <w:rsid w:val="00EA5BF6"/>
    <w:rsid w:val="00F639CB"/>
  </w:rsids>
  <m:mathPr>
    <m:mathFont m:val="Cambria Math"/>
    <m:brkBin m:val="before"/>
    <m:brkBinSub m:val="--"/>
    <m:smallFrac m:val="0"/>
    <m:dispDef/>
    <m:lMargin m:val="0"/>
    <m:rMargin m:val="0"/>
    <m:defJc m:val="centerGroup"/>
    <m:wrapIndent m:val="1440"/>
    <m:intLim m:val="subSup"/>
    <m:naryLim m:val="undOvr"/>
  </m:mathPr>
  <w:themeFontLang w:val="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C207"/>
  <w15:chartTrackingRefBased/>
  <w15:docId w15:val="{3AD78A48-7916-4FB3-B7D7-8E99316E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bidi/>
      </w:pPr>
    </w:pPrDefault>
    <w:rPrDefault>
      <w:rPr>
        <w:rFonts w:asciiTheme="minorHAnsi" w:hAnsiTheme="minorHAnsi" w:cstheme="minorBidi" w:eastAsiaTheme="minorHAnsi"/>
        <w:kern w:val="2"/>
        <w:sz w:val="22"/>
        <w14:ligatures w14:val="standardContextual"/>
        <w:rtl/>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rPr>
      <w:rtl/>
    </w:rPr>
    <w:tblPr>
      <w:tblInd w:w="0" w:type="dxa"/>
      <w:tblCellMar>
        <w:top w:w="0" w:type="dxa"/>
        <w:left w:w="108" w:type="dxa"/>
        <w:bottom w:w="0" w:type="dxa"/>
        <w:right w:w="108" w:type="dxa"/>
      </w:tblCellMar>
      <w:bidiVisual/>
    </w:tblPr>
  </w:style>
  <w:style w:type="numbering" w:default="1" w:styleId="ListeYok">
    <w:name w:val="No List"/>
    <w:uiPriority w:val="99"/>
    <w:semiHidden/>
    <w:unhideWhenUsed/>
  </w:style>
  <w:style w:type="paragraph" w:styleId="P68B1DB1-Normal1">
    <w:name w:val="P68B1DB1-Normal1"/>
    <w:basedOn w:val="Normal"/>
    <w:rPr>
      <w:b/>
      <w:sz w:val="24"/>
    </w:rPr>
  </w:style>
  <w:style w:type="paragraph" w:styleId="P68B1DB1-Normal2">
    <w:name w:val="P68B1DB1-Normal2"/>
    <w:basedOn w:val="Normal"/>
    <w:rPr>
      <w:rFonts w:cstheme="minorHAnsi" w:eastAsia="Times New Roman"/>
      <w:color w:val="000000"/>
      <w:kern w:val="0"/>
      <w14:ligatures w14:val="none"/>
    </w:rPr>
  </w:style>
  <w:style w:type="paragraph" w:styleId="P68B1DB1-Normal3">
    <w:name w:val="P68B1DB1-Normal3"/>
    <w:basedOn w:val="Normal"/>
    <w:rPr>
      <w:sz w:val="20"/>
    </w:rPr>
  </w:style>
  <w:style w:type="paragraph" w:styleId="P68B1DB1-Normal4">
    <w:name w:val="P68B1DB1-Normal4"/>
    <w:basedOn w:val="Normal"/>
    <w:rPr>
      <w:sz w:val="18"/>
    </w:rPr>
  </w:style>
  <w:style w:type="paragraph" w:styleId="P68B1DB1-Normal5">
    <w:name w:val="P68B1DB1-Normal5"/>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 İçen</dc:creator>
  <cp:keywords/>
  <dc:description/>
  <cp:lastModifiedBy>Erdi İçen</cp:lastModifiedBy>
  <cp:revision>6</cp:revision>
  <dcterms:created xsi:type="dcterms:W3CDTF">2023-07-12T15:25:00Z</dcterms:created>
  <dcterms:modified xsi:type="dcterms:W3CDTF">2023-07-12T15:44:00Z</dcterms:modified>
</cp:coreProperties>
</file>