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28583256">
      <w:pPr>
        <w:rPr>
          <w:b/>
          <w:sz w:val="24"/>
        </w:rPr>
        <w:pStyle w:val="P68B1DB1-Normal1"/>
        <w:bidi/>
      </w:pPr>
      <w:r>
        <w:rPr>
          <w:rtl/>
        </w:rPr>
        <w:t xml:space="preserve">استمارة إعلام المريض والموافقة عن علاج الاسنان المزروعة</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7F7F209A" w14:textId="10FB334F">
      <w:pPr>
        <w:rPr>
          <w:sz w:val="18"/>
        </w:rPr>
        <w:pStyle w:val="P68B1DB1-Normal3"/>
        <w:bidi/>
      </w:pPr>
      <w:r>
        <w:rPr>
          <w:rtl/>
        </w:rPr>
        <w:t xml:space="preserve">'الغرسات' عبارة عن براغي معدنية توضع في عظم الفك تحت ظروف معقمة تحت تأثير التخدير الموضعي والتي تحاكي جذور الأسنان ويتم إنتاجها من 'التيتانيوم الخالص' ولها خصائص سطح محسنة (بطرق مثل النقش بالحمض والسفع الرملي). توضع الغرسات في مرحلة أو مرحلتين ، وبعد 3 أشهر من وضعها في العظم ، تتشكل أنسجة عظمية جديدة حولها وتندمج مع عظم الفك. في بعض الحالات ، قد تمتد هذه الفترة إلى 6-9 أشهر.</w:t>
      </w:r>
    </w:p>
    <w:p w14:paraId="5EE1E390" w14:textId="1BFD9398">
      <w:pPr>
        <w:rPr>
          <w:rFonts w:cstheme="minorHAnsi"/>
          <w:sz w:val="18"/>
        </w:rPr>
        <w:pStyle w:val="P68B1DB1-Normal4"/>
        <w:bidi/>
      </w:pPr>
      <w:r>
        <w:rPr>
          <w:rtl/>
        </w:rPr>
        <w:t xml:space="preserve">حشو الأسنان هو عملية تنظيف أنسجة الأسنان المتحللة وملء مكانها بالمواد الاصطناعية والتأكد من سلامة الأسنان.</w:t>
      </w:r>
    </w:p>
    <w:p w14:paraId="7BBBDB49" w14:textId="7AFEBE33">
      <w:pPr>
        <w:rPr>
          <w:sz w:val="18"/>
        </w:rPr>
        <w:pStyle w:val="P68B1DB1-Normal3"/>
        <w:bidi/>
      </w:pPr>
      <w:r>
        <w:rPr>
          <w:rtl/>
        </w:rPr>
        <w:t xml:space="preserve">الإجراء الواجب اتخاذه : </w:t>
      </w:r>
    </w:p>
    <w:p w14:paraId="467CA55B" w14:textId="030A11D2">
      <w:pPr>
        <w:rPr>
          <w:b/>
          <w:sz w:val="20"/>
        </w:rPr>
        <w:pStyle w:val="P68B1DB1-Normal2"/>
        <w:bidi/>
      </w:pPr>
      <w:r>
        <w:rPr>
          <w:rtl/>
        </w:rPr>
        <w:t xml:space="preserve">المخاطر والتوصيات والمضاعفات المتعلقة بالمبادرة</w:t>
      </w:r>
    </w:p>
    <w:p w14:paraId="3B3E7793" w14:textId="3A0C843D">
      <w:pPr>
        <w:spacing w:after="0"/>
        <w:rPr>
          <w:sz w:val="18"/>
        </w:rPr>
        <w:pStyle w:val="P68B1DB1-Normal3"/>
        <w:bidi/>
      </w:pPr>
      <w:r>
        <w:rPr>
          <w:rtl/>
        </w:rPr>
        <w:sym w:font="Symbol" w:char="F0B7"/>
        <w:t xml:space="preserve">من حين لآخر ، قد يلاحظ تورم مؤقت واحمرار وكدمات وتنميل على الخد بسبب التخدير. </w:t>
      </w:r>
    </w:p>
    <w:p w14:paraId="5E6637EA" w14:textId="2260E0AC">
      <w:pPr>
        <w:spacing w:after="0"/>
        <w:rPr>
          <w:sz w:val="18"/>
        </w:rPr>
        <w:pStyle w:val="P68B1DB1-Normal3"/>
        <w:bidi/>
      </w:pPr>
      <w:r>
        <w:rPr>
          <w:rtl/>
        </w:rPr>
        <w:sym w:font="Symbol" w:char="F0B7"/>
        <w:t xml:space="preserve">بعد الجراحة قد يحدث ألم وتورم قد يتطلب الراحة في المنزل لبضعة أيام.</w:t>
      </w:r>
    </w:p>
    <w:p w14:paraId="0369B87C" w14:textId="60F49765">
      <w:pPr>
        <w:spacing w:after="0"/>
        <w:rPr>
          <w:sz w:val="18"/>
        </w:rPr>
        <w:pStyle w:val="P68B1DB1-Normal3"/>
        <w:bidi/>
      </w:pPr>
      <w:r>
        <w:rPr>
          <w:rtl/>
        </w:rPr>
        <w:sym w:font="Symbol" w:char="F0B7"/>
        <w:t xml:space="preserve">قد يحدث نزيف قصير وطويل الأمد الأمر الذي قد يتطلب علاجًا إضافيًا.</w:t>
      </w:r>
    </w:p>
    <w:p w14:paraId="7D8C1AA3" w14:textId="5412668A">
      <w:pPr>
        <w:spacing w:after="0"/>
        <w:rPr>
          <w:sz w:val="18"/>
        </w:rPr>
        <w:pStyle w:val="P68B1DB1-Normal3"/>
        <w:bidi/>
      </w:pPr>
      <w:r>
        <w:rPr>
          <w:rtl/>
        </w:rPr>
        <w:sym w:font="Symbol" w:char="F0B7"/>
        <w:t xml:space="preserve">قد يحدث تلف للأسنان المجاورة أو جذور الأسنان.</w:t>
      </w:r>
    </w:p>
    <w:p w14:paraId="675A2131" w14:textId="497E291B">
      <w:pPr>
        <w:spacing w:after="0"/>
        <w:rPr>
          <w:sz w:val="18"/>
        </w:rPr>
        <w:pStyle w:val="P68B1DB1-Normal3"/>
        <w:bidi/>
      </w:pPr>
      <w:r>
        <w:rPr>
          <w:rtl/>
        </w:rPr>
        <w:sym w:font="Symbol" w:char="F0B7"/>
        <w:t xml:space="preserve">قد تحدث العدوى بعد الجراحة الأمر الذي قد يتطلب علاجًا إضافيًا.</w:t>
      </w:r>
    </w:p>
    <w:p w14:paraId="699EFD64" w14:textId="07FBCDF3">
      <w:pPr>
        <w:spacing w:after="0"/>
        <w:rPr>
          <w:sz w:val="18"/>
        </w:rPr>
        <w:pStyle w:val="P68B1DB1-Normal3"/>
        <w:bidi/>
      </w:pPr>
      <w:r>
        <w:rPr>
          <w:rtl/>
        </w:rPr>
        <w:sym w:font="Symbol" w:char="F0B7"/>
        <w:t xml:space="preserve">قد تحدث تشققات وكدمات صغيرة نتيجة شد حافة الفم أثناء الجراحة.</w:t>
      </w:r>
    </w:p>
    <w:p w14:paraId="7B62556B" w14:textId="2411A5CD">
      <w:pPr>
        <w:spacing w:after="0"/>
        <w:rPr>
          <w:sz w:val="18"/>
        </w:rPr>
        <w:pStyle w:val="P68B1DB1-Normal3"/>
        <w:bidi/>
      </w:pPr>
      <w:r>
        <w:rPr>
          <w:rtl/>
        </w:rPr>
        <w:sym w:font="Symbol" w:char="F0B7"/>
        <w:t xml:space="preserve">قد يكون هناك قيود في فتح الفم لبضعة أيام بعد الجراحة.</w:t>
      </w:r>
    </w:p>
    <w:p w14:paraId="21861486" w14:textId="63176A66">
      <w:pPr>
        <w:spacing w:after="0"/>
        <w:rPr>
          <w:sz w:val="18"/>
        </w:rPr>
        <w:pStyle w:val="P68B1DB1-Normal3"/>
        <w:bidi/>
      </w:pPr>
      <w:r>
        <w:rPr>
          <w:rtl/>
        </w:rPr>
        <w:sym w:font="Symbol" w:char="F0B7"/>
        <w:t xml:space="preserve">اعتمادًا على الضرر الذي قد يحدث في الفروع العصبية التي توفر حساسية عظم الفك والأنسجة الرخوة ، قد يكون هناك خدر أو ألم أو وخز قد يتطور في المنطقة التي خضعت للعملية (طرف الذقن ، الشفتين ، الخد ، اللثة ، اللسان أو أسنان). قد تختفي هذه الأعراض في غضون أيام ، وقد تستمر لفترة أطول أو قد تكون دائمة.</w:t>
      </w:r>
    </w:p>
    <w:p w14:paraId="5611DA28" w14:textId="1459A9C4">
      <w:pPr>
        <w:spacing w:after="0"/>
        <w:rPr>
          <w:sz w:val="18"/>
        </w:rPr>
        <w:pStyle w:val="P68B1DB1-Normal3"/>
        <w:bidi/>
      </w:pPr>
      <w:r>
        <w:rPr>
          <w:rtl/>
        </w:rPr>
        <w:sym w:font="Symbol" w:char="F0B7"/>
        <w:t xml:space="preserve">يتطلب فتح الجيوب الأنفية علاجًا إضافيًا (فتح تجويف الجيوب الأنفية المحيط بجذور الأسنان في المنطقة الخلفية للفك العلوي إلى بيئة الفم) في حالة فتح الجيوب الأنفية ، قد تتطور نتائج التهاب الجيوب الأنفية وتتطلب علاجًا إضافيًا. لذلك ، قد تطول عملية الشفاء.</w:t>
      </w:r>
    </w:p>
    <w:p w14:paraId="22DFFEE4" w14:textId="19B4CB7F">
      <w:pPr>
        <w:spacing w:after="0"/>
        <w:rPr>
          <w:sz w:val="18"/>
        </w:rPr>
        <w:pStyle w:val="P68B1DB1-Normal3"/>
        <w:bidi/>
      </w:pPr>
      <w:r>
        <w:rPr>
          <w:rtl/>
        </w:rPr>
        <w:t xml:space="preserve">في الحالات التي يكون فيها العظم الذي يتم فيه وضع الغرسة أثناء الجراحة غير كافٍ قد تحدث تشققات أو كسور رفيعة في العظام.</w:t>
      </w:r>
    </w:p>
    <w:p w14:paraId="4CEE804A" w14:textId="1903170E">
      <w:pPr>
        <w:spacing w:after="0"/>
        <w:rPr>
          <w:sz w:val="18"/>
        </w:rPr>
        <w:pStyle w:val="P68B1DB1-Normal3"/>
        <w:bidi/>
      </w:pPr>
      <w:r>
        <w:rPr>
          <w:rtl/>
        </w:rPr>
        <w:t xml:space="preserve">قد يحدث فقدان العظام حول الغرسة بمرور الوقت.</w:t>
      </w:r>
    </w:p>
    <w:p w14:paraId="39A7E927" w14:textId="481CBA8B">
      <w:pPr>
        <w:spacing w:after="0"/>
        <w:rPr>
          <w:sz w:val="18"/>
        </w:rPr>
        <w:pStyle w:val="P68B1DB1-Normal3"/>
        <w:bidi/>
      </w:pPr>
      <w:r>
        <w:rPr>
          <w:rtl/>
        </w:rPr>
        <w:t xml:space="preserve">في الحالات التي لا يتم فيها اتباع توصيات النظافة بعد الزرع واستهلاك كميات مفرطة من السجائر والكحول قد تفشل عملية الزرع. </w:t>
      </w:r>
    </w:p>
    <w:p w14:paraId="35E04ACB" w14:textId="08D467C9">
      <w:pPr>
        <w:spacing w:after="0"/>
        <w:rPr>
          <w:sz w:val="18"/>
        </w:rPr>
        <w:pStyle w:val="P68B1DB1-Normal3"/>
        <w:bidi/>
      </w:pPr>
      <w:r>
        <w:rPr>
          <w:rtl/>
        </w:rPr>
        <w:t xml:space="preserve">في حالات نادرة قد تُفقد غرسات الأسنان أو الأجزاء التي تحمل الطرف الاصطناعي أو الطرف الاصطناعي نفسه بسبب إجهاد المضغ.</w:t>
      </w:r>
    </w:p>
    <w:p w14:paraId="156165BA" w14:textId="35E5E82B">
      <w:pPr>
        <w:spacing w:after="0"/>
        <w:rPr>
          <w:sz w:val="18"/>
        </w:rPr>
        <w:pStyle w:val="P68B1DB1-Normal3"/>
        <w:bidi/>
      </w:pPr>
      <w:r>
        <w:rPr>
          <w:rtl/>
        </w:rPr>
        <w:t xml:space="preserve">قد يتم رفض الغرسة بسبب أي مشكلة في التوافق البيولوجي للزرع مع عظم الفك.عند فقدان الغرسة يمكن وضع غرسة أخرى في نفس المنطقة باتباع التئام العظام في المنطقة ذات الصلة.</w:t>
      </w:r>
    </w:p>
    <w:p w14:paraId="70FD2AD8" w14:textId="45C57F9E">
      <w:pPr>
        <w:spacing w:after="0"/>
        <w:rPr>
          <w:sz w:val="18"/>
        </w:rPr>
        <w:pStyle w:val="P68B1DB1-Normal3"/>
        <w:bidi/>
      </w:pPr>
      <w:r>
        <w:rPr>
          <w:rtl/>
        </w:rPr>
        <w:t xml:space="preserve">لا يمكن ضمان فترة زمنية معينة على مدى عمر زراعة الأسنان. لا يمكن التنبؤ بمعدل النجاح الدقيق. يجب أن يؤخذ في الاعتبار أن الفشل والانتكاس وإعادة العلاج قد تحدث على الرغم من جهد العلاج الأنسب.</w:t>
      </w:r>
    </w:p>
    <w:p w14:paraId="6F6BC491" w14:textId="77777777">
      <w:pPr>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5"/>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6"/>
                              <w:bidi/>
                            </w:pPr>
                            <w:r>
                              <w:rPr>
                                <w:rtl/>
                              </w:rPr>
                              <w:t xml:space="preserve">التوقيع: </w:t>
                            </w:r>
                          </w:p>
                          <w:p w14:paraId="29407ECB" w14:textId="1A38E259">
                            <w:pPr>
                              <w:rPr>
                                <w:b/>
                              </w:rPr>
                              <w:pStyle w:val="P68B1DB1-Normal6"/>
                              <w:bidi/>
                            </w:pPr>
                            <w:r>
                              <w:rPr>
                                <w:rtl/>
                              </w:rPr>
                              <w:t xml:space="preserve">التوقيع: </w:t>
                            </w:r>
                          </w:p>
                          <w:p w14:paraId="2A4D0DAF" w14:textId="53185262">
                            <w:pPr>
                              <w:rPr>
                                <w:b/>
                              </w:rPr>
                              <w:pStyle w:val="P68B1DB1-Normal6"/>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6"/>
                              <w:bidi/>
                            </w:pPr>
                            <w:r>
                              <w:rPr>
                                <w:rtl/>
                              </w:rPr>
                              <w:t xml:space="preserve">اسم ولقب المريض: </w:t>
                            </w:r>
                          </w:p>
                          <w:p w14:paraId="69416849" w14:textId="77777777">
                            <w:pPr>
                              <w:rPr>
                                <w:b/>
                              </w:rPr>
                              <w:pStyle w:val="P68B1DB1-Normal6"/>
                              <w:bidi/>
                            </w:pPr>
                            <w:r>
                              <w:rPr>
                                <w:rtl/>
                              </w:rPr>
                              <w:t xml:space="preserve">اسم ولقب ولي الأمر / الوصي للمريض : </w:t>
                            </w:r>
                          </w:p>
                          <w:p w14:paraId="0D4AB5CE" w14:textId="77777777">
                            <w:pPr>
                              <w:rPr>
                                <w:b/>
                              </w:rPr>
                              <w:pStyle w:val="P68B1DB1-Normal6"/>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2C0828"/>
    <w:rsid w:val="006B64BE"/>
    <w:rsid w:val="00792312"/>
    <w:rsid w:val="008178CF"/>
    <w:rsid w:val="009E1716"/>
    <w:rsid w:val="00A57B21"/>
    <w:rsid w:val="00AB2A34"/>
    <w:rsid w:val="00B201F2"/>
    <w:rsid w:val="00B22779"/>
    <w:rsid w:val="00CC64F7"/>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eastAsia="Times New Roman"/>
      <w:color w:val="000000"/>
      <w:kern w:val="0"/>
      <w:sz w:val="18"/>
      <w14:ligatures w14:val="none"/>
    </w:rPr>
  </w:style>
  <w:style w:type="paragraph" w:styleId="P68B1DB1-Normal5">
    <w:name w:val="P68B1DB1-Normal5"/>
    <w:basedOn w:val="Normal"/>
    <w:rPr>
      <w:sz w:val="20"/>
    </w:rPr>
  </w:style>
  <w:style w:type="paragraph"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9</cp:revision>
  <dcterms:created xsi:type="dcterms:W3CDTF">2023-07-12T08:10:00Z</dcterms:created>
  <dcterms:modified xsi:type="dcterms:W3CDTF">2023-07-12T14:55:00Z</dcterms:modified>
</cp:coreProperties>
</file>